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D" w:rsidRPr="00987D2D" w:rsidRDefault="00E5650F" w:rsidP="00E5650F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19.04</w:t>
      </w:r>
      <w:r w:rsidR="009F3544">
        <w:rPr>
          <w:rFonts w:ascii="Arial" w:hAnsi="Arial" w:cs="Arial"/>
          <w:b/>
          <w:bCs/>
          <w:sz w:val="32"/>
          <w:szCs w:val="32"/>
        </w:rPr>
        <w:t>.</w:t>
      </w:r>
      <w:r w:rsidR="00987D2D">
        <w:rPr>
          <w:rFonts w:ascii="Arial" w:hAnsi="Arial" w:cs="Arial"/>
          <w:b/>
          <w:bCs/>
          <w:sz w:val="32"/>
          <w:szCs w:val="32"/>
        </w:rPr>
        <w:t>201</w:t>
      </w:r>
      <w:r w:rsidR="008E1400">
        <w:rPr>
          <w:rFonts w:ascii="Arial" w:hAnsi="Arial" w:cs="Arial"/>
          <w:b/>
          <w:bCs/>
          <w:sz w:val="32"/>
          <w:szCs w:val="32"/>
        </w:rPr>
        <w:t xml:space="preserve">9 </w:t>
      </w:r>
      <w:r w:rsidR="00987D2D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 xml:space="preserve">23 </w:t>
      </w:r>
      <w:r w:rsidR="009F3544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="009F3544">
        <w:rPr>
          <w:rFonts w:ascii="Arial" w:hAnsi="Arial" w:cs="Arial"/>
          <w:b/>
          <w:bCs/>
          <w:sz w:val="32"/>
          <w:szCs w:val="32"/>
        </w:rPr>
        <w:t>п</w:t>
      </w:r>
      <w:proofErr w:type="spellEnd"/>
      <w:proofErr w:type="gramEnd"/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Default="008E1400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>
        <w:rPr>
          <w:rFonts w:ascii="Arial" w:hAnsi="Arial" w:cs="Arial"/>
          <w:b/>
          <w:sz w:val="32"/>
          <w:szCs w:val="32"/>
        </w:rPr>
        <w:t xml:space="preserve"> «</w:t>
      </w:r>
      <w:r w:rsidR="00937F47">
        <w:rPr>
          <w:rFonts w:ascii="Arial" w:hAnsi="Arial" w:cs="Arial"/>
          <w:b/>
          <w:sz w:val="32"/>
          <w:szCs w:val="32"/>
        </w:rPr>
        <w:t>ТАБАРСУК</w:t>
      </w:r>
      <w:r w:rsidR="008E1400">
        <w:rPr>
          <w:rFonts w:ascii="Arial" w:hAnsi="Arial" w:cs="Arial"/>
          <w:b/>
          <w:sz w:val="32"/>
          <w:szCs w:val="32"/>
        </w:rPr>
        <w:t>»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67FD" w:rsidRPr="00AE19EE" w:rsidRDefault="00AE19EE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8C39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</w:t>
      </w:r>
      <w:r w:rsidR="000A31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БАРСУК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E1400" w:rsidRDefault="00DF67FD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похоронном деле», 06.10.2003 №1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</w:r>
      <w:r w:rsidR="0037026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260" w:rsidRPr="00370260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</w:t>
      </w:r>
      <w:proofErr w:type="gramEnd"/>
      <w:r w:rsidR="00370260" w:rsidRPr="00370260">
        <w:rPr>
          <w:rFonts w:ascii="Arial" w:hAnsi="Arial" w:cs="Arial"/>
          <w:sz w:val="24"/>
        </w:rPr>
        <w:t xml:space="preserve"> «Табарсук»,</w:t>
      </w:r>
    </w:p>
    <w:p w:rsidR="009F3544" w:rsidRDefault="009F3544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310D" w:rsidRDefault="00DF67FD" w:rsidP="000A31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310D" w:rsidRDefault="000A310D" w:rsidP="000A31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310D" w:rsidRPr="000A310D" w:rsidRDefault="00DF67FD" w:rsidP="000A31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>1. Утвердить Проект устройства общественных кладб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A310D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39B4">
        <w:rPr>
          <w:rFonts w:ascii="Arial" w:hAnsi="Arial" w:cs="Arial"/>
          <w:sz w:val="24"/>
        </w:rPr>
        <w:t xml:space="preserve">   </w:t>
      </w:r>
      <w:r w:rsidR="000A310D" w:rsidRPr="000A310D">
        <w:rPr>
          <w:rFonts w:ascii="Arial" w:eastAsia="Calibri" w:hAnsi="Arial" w:cs="Arial"/>
          <w:sz w:val="24"/>
        </w:rPr>
        <w:t xml:space="preserve"> </w:t>
      </w:r>
      <w:r w:rsidR="00D539B4">
        <w:rPr>
          <w:rFonts w:ascii="Arial" w:hAnsi="Arial" w:cs="Arial"/>
          <w:sz w:val="24"/>
        </w:rPr>
        <w:tab/>
        <w:t xml:space="preserve">2. </w:t>
      </w:r>
      <w:r w:rsidR="000A310D" w:rsidRPr="000A310D">
        <w:rPr>
          <w:rFonts w:ascii="Arial" w:eastAsia="Calibri" w:hAnsi="Arial" w:cs="Arial"/>
          <w:sz w:val="24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="000A310D" w:rsidRPr="000A310D">
        <w:rPr>
          <w:rFonts w:ascii="Arial" w:eastAsia="Calibri" w:hAnsi="Arial" w:cs="Arial"/>
          <w:sz w:val="24"/>
        </w:rPr>
        <w:t>Табарсукский</w:t>
      </w:r>
      <w:proofErr w:type="spellEnd"/>
      <w:r w:rsidR="000A310D" w:rsidRPr="000A310D">
        <w:rPr>
          <w:rFonts w:ascii="Arial" w:eastAsia="Calibri" w:hAnsi="Arial" w:cs="Arial"/>
          <w:sz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0A310D" w:rsidRPr="000A310D">
        <w:rPr>
          <w:rFonts w:ascii="Arial" w:eastAsia="Calibri" w:hAnsi="Arial" w:cs="Arial"/>
          <w:sz w:val="24"/>
        </w:rPr>
        <w:t>Аларский</w:t>
      </w:r>
      <w:proofErr w:type="spellEnd"/>
      <w:r w:rsidR="000A310D" w:rsidRPr="000A310D">
        <w:rPr>
          <w:rFonts w:ascii="Arial" w:eastAsia="Calibri" w:hAnsi="Arial" w:cs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0A310D" w:rsidRPr="000A310D" w:rsidRDefault="000A310D" w:rsidP="000A310D">
      <w:pPr>
        <w:pStyle w:val="a8"/>
        <w:ind w:firstLine="567"/>
        <w:jc w:val="both"/>
        <w:rPr>
          <w:rFonts w:ascii="Arial" w:eastAsia="Times New Roman" w:hAnsi="Arial" w:cs="Arial"/>
          <w:sz w:val="24"/>
        </w:rPr>
      </w:pPr>
      <w:r w:rsidRPr="000A310D">
        <w:rPr>
          <w:rFonts w:ascii="Arial" w:eastAsia="Times New Roman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0A310D" w:rsidRPr="000A310D" w:rsidRDefault="000A310D" w:rsidP="000A310D">
      <w:pPr>
        <w:pStyle w:val="a8"/>
        <w:ind w:firstLine="567"/>
        <w:jc w:val="both"/>
        <w:rPr>
          <w:rFonts w:ascii="Arial" w:eastAsia="Times New Roman" w:hAnsi="Arial" w:cs="Arial"/>
          <w:sz w:val="24"/>
        </w:rPr>
      </w:pPr>
      <w:r w:rsidRPr="000A310D">
        <w:rPr>
          <w:rFonts w:ascii="Arial" w:eastAsia="Times New Roman" w:hAnsi="Arial" w:cs="Arial"/>
          <w:sz w:val="24"/>
        </w:rPr>
        <w:t xml:space="preserve">4. </w:t>
      </w:r>
      <w:proofErr w:type="gramStart"/>
      <w:r w:rsidRPr="000A310D">
        <w:rPr>
          <w:rFonts w:ascii="Arial" w:eastAsia="Times New Roman" w:hAnsi="Arial" w:cs="Arial"/>
          <w:sz w:val="24"/>
        </w:rPr>
        <w:t>Контроль за</w:t>
      </w:r>
      <w:proofErr w:type="gramEnd"/>
      <w:r w:rsidRPr="000A310D">
        <w:rPr>
          <w:rFonts w:ascii="Arial" w:eastAsia="Times New Roman" w:hAnsi="Arial" w:cs="Arial"/>
          <w:sz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0A310D" w:rsidRPr="000A310D" w:rsidRDefault="000A310D" w:rsidP="000A310D">
      <w:pPr>
        <w:pStyle w:val="a8"/>
        <w:jc w:val="both"/>
        <w:rPr>
          <w:rFonts w:ascii="Arial" w:eastAsia="Times New Roman" w:hAnsi="Arial" w:cs="Arial"/>
          <w:sz w:val="24"/>
        </w:rPr>
      </w:pPr>
    </w:p>
    <w:p w:rsidR="000A310D" w:rsidRPr="000A310D" w:rsidRDefault="000A310D" w:rsidP="000A310D">
      <w:pPr>
        <w:pStyle w:val="a8"/>
        <w:jc w:val="both"/>
        <w:rPr>
          <w:rFonts w:ascii="Arial" w:eastAsia="Times New Roman" w:hAnsi="Arial" w:cs="Arial"/>
          <w:sz w:val="24"/>
        </w:rPr>
      </w:pPr>
    </w:p>
    <w:p w:rsidR="000A310D" w:rsidRPr="000A310D" w:rsidRDefault="000A310D" w:rsidP="000A310D">
      <w:pPr>
        <w:pStyle w:val="a8"/>
        <w:jc w:val="both"/>
        <w:rPr>
          <w:rFonts w:ascii="Arial" w:eastAsia="Times New Roman" w:hAnsi="Arial" w:cs="Arial"/>
          <w:sz w:val="24"/>
        </w:rPr>
      </w:pPr>
      <w:r w:rsidRPr="000A310D">
        <w:rPr>
          <w:rFonts w:ascii="Arial" w:eastAsia="Times New Roman" w:hAnsi="Arial" w:cs="Arial"/>
          <w:sz w:val="24"/>
        </w:rPr>
        <w:t>Глава муниципального образования «Табарсук»</w:t>
      </w:r>
    </w:p>
    <w:p w:rsidR="005E360A" w:rsidRPr="005E360A" w:rsidRDefault="000A310D" w:rsidP="005E360A">
      <w:pPr>
        <w:pStyle w:val="a8"/>
        <w:jc w:val="both"/>
        <w:rPr>
          <w:rFonts w:ascii="Arial" w:eastAsia="Times New Roman" w:hAnsi="Arial" w:cs="Arial"/>
          <w:sz w:val="24"/>
        </w:rPr>
      </w:pPr>
      <w:r w:rsidRPr="000A310D">
        <w:rPr>
          <w:rFonts w:ascii="Arial" w:eastAsia="Times New Roman" w:hAnsi="Arial" w:cs="Arial"/>
          <w:sz w:val="24"/>
        </w:rPr>
        <w:t>Т.С. Андреева</w:t>
      </w:r>
    </w:p>
    <w:p w:rsidR="00D539B4" w:rsidRPr="00D539B4" w:rsidRDefault="009F3544" w:rsidP="00D539B4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DF67FD" w:rsidRPr="00AE19EE">
        <w:rPr>
          <w:rFonts w:ascii="Courier New" w:eastAsia="Times New Roman" w:hAnsi="Courier New" w:cs="Courier New"/>
          <w:lang w:eastAsia="ru-RU"/>
        </w:rPr>
        <w:br/>
      </w: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="00DF67FD" w:rsidRPr="00AE19EE">
        <w:rPr>
          <w:rFonts w:ascii="Courier New" w:eastAsia="Times New Roman" w:hAnsi="Courier New" w:cs="Courier New"/>
          <w:lang w:eastAsia="ru-RU"/>
        </w:rPr>
        <w:t xml:space="preserve"> администрации </w:t>
      </w:r>
      <w:r w:rsidR="00DF67FD" w:rsidRPr="00AE19EE">
        <w:rPr>
          <w:rFonts w:ascii="Courier New" w:eastAsia="Times New Roman" w:hAnsi="Courier New" w:cs="Courier New"/>
          <w:lang w:eastAsia="ru-RU"/>
        </w:rPr>
        <w:br/>
      </w:r>
      <w:r w:rsidR="008E1400">
        <w:rPr>
          <w:rFonts w:ascii="Courier New" w:eastAsia="Times New Roman" w:hAnsi="Courier New" w:cs="Courier New"/>
          <w:lang w:eastAsia="ru-RU"/>
        </w:rPr>
        <w:t>м</w:t>
      </w:r>
      <w:r w:rsidR="00987D2D" w:rsidRPr="00AE19EE"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D539B4">
        <w:rPr>
          <w:rFonts w:ascii="Courier New" w:eastAsia="Times New Roman" w:hAnsi="Courier New" w:cs="Courier New"/>
          <w:lang w:eastAsia="ru-RU"/>
        </w:rPr>
        <w:t xml:space="preserve"> </w:t>
      </w:r>
      <w:r w:rsidR="007359FE">
        <w:rPr>
          <w:rFonts w:ascii="Courier New" w:eastAsia="Times New Roman" w:hAnsi="Courier New" w:cs="Courier New"/>
          <w:lang w:eastAsia="ru-RU"/>
        </w:rPr>
        <w:t>«</w:t>
      </w:r>
      <w:r w:rsidR="00D539B4">
        <w:rPr>
          <w:rFonts w:ascii="Courier New" w:eastAsia="Times New Roman" w:hAnsi="Courier New" w:cs="Courier New"/>
          <w:lang w:eastAsia="ru-RU"/>
        </w:rPr>
        <w:t>Табарсук</w:t>
      </w:r>
      <w:r w:rsidR="007359FE">
        <w:rPr>
          <w:rFonts w:ascii="Courier New" w:eastAsia="Times New Roman" w:hAnsi="Courier New" w:cs="Courier New"/>
          <w:lang w:eastAsia="ru-RU"/>
        </w:rPr>
        <w:t>»</w:t>
      </w:r>
      <w:r w:rsidR="007359FE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E5650F">
        <w:rPr>
          <w:rFonts w:ascii="Courier New" w:eastAsia="Times New Roman" w:hAnsi="Courier New" w:cs="Courier New"/>
          <w:lang w:eastAsia="ru-RU"/>
        </w:rPr>
        <w:t>19.04</w:t>
      </w:r>
      <w:r>
        <w:rPr>
          <w:rFonts w:ascii="Courier New" w:eastAsia="Times New Roman" w:hAnsi="Courier New" w:cs="Courier New"/>
          <w:lang w:eastAsia="ru-RU"/>
        </w:rPr>
        <w:t>.</w:t>
      </w:r>
      <w:r w:rsidR="008E1400">
        <w:rPr>
          <w:rFonts w:ascii="Courier New" w:eastAsia="Times New Roman" w:hAnsi="Courier New" w:cs="Courier New"/>
          <w:lang w:eastAsia="ru-RU"/>
        </w:rPr>
        <w:t>2019</w:t>
      </w:r>
      <w:r w:rsidR="00DF67FD" w:rsidRPr="00AE19EE">
        <w:rPr>
          <w:rFonts w:ascii="Courier New" w:eastAsia="Times New Roman" w:hAnsi="Courier New" w:cs="Courier New"/>
          <w:lang w:eastAsia="ru-RU"/>
        </w:rPr>
        <w:t xml:space="preserve"> №</w:t>
      </w:r>
      <w:r w:rsidR="007359FE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E5650F">
        <w:rPr>
          <w:rFonts w:ascii="Courier New" w:eastAsia="Times New Roman" w:hAnsi="Courier New" w:cs="Courier New"/>
          <w:lang w:eastAsia="ru-RU"/>
        </w:rPr>
        <w:t>23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Проект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lastRenderedPageBreak/>
        <w:t>устройства общественных кладб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ищ, расположенных на территории</w:t>
      </w:r>
      <w:r w:rsidR="00BD3BC3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D539B4">
        <w:rPr>
          <w:rFonts w:ascii="Arial" w:eastAsia="Times New Roman" w:hAnsi="Arial" w:cs="Arial"/>
          <w:b/>
          <w:bCs/>
          <w:sz w:val="30"/>
          <w:szCs w:val="30"/>
        </w:rPr>
        <w:t>Табарсук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3578B2" w:rsidRDefault="003578B2" w:rsidP="00DF67FD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DF67FD" w:rsidRDefault="00DF67FD" w:rsidP="0074799D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Паспорт Проекта</w:t>
      </w:r>
    </w:p>
    <w:p w:rsidR="009F3544" w:rsidRPr="003578B2" w:rsidRDefault="009F3544" w:rsidP="0074799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DF67FD" w:rsidRPr="00590E9A" w:rsidTr="00F6717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D539B4">
            <w:pPr>
              <w:pStyle w:val="a8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578B2">
              <w:rPr>
                <w:rFonts w:ascii="Courier New" w:eastAsia="Times New Roman" w:hAnsi="Courier New" w:cs="Courier New"/>
                <w:bCs/>
              </w:rPr>
              <w:t>Проект устройства общественных кладб</w:t>
            </w:r>
            <w:r w:rsidR="008E1400">
              <w:rPr>
                <w:rFonts w:ascii="Courier New" w:eastAsia="Times New Roman" w:hAnsi="Courier New" w:cs="Courier New"/>
                <w:bCs/>
              </w:rPr>
              <w:t>ищ, расположенных на территории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D539B4">
              <w:rPr>
                <w:rFonts w:ascii="Courier New" w:eastAsia="Times New Roman" w:hAnsi="Courier New" w:cs="Courier New"/>
              </w:rPr>
              <w:t xml:space="preserve"> </w:t>
            </w:r>
            <w:r w:rsidR="008E1400">
              <w:rPr>
                <w:rFonts w:ascii="Courier New" w:eastAsia="Times New Roman" w:hAnsi="Courier New" w:cs="Courier New"/>
                <w:bCs/>
              </w:rPr>
              <w:t>«</w:t>
            </w:r>
            <w:r w:rsidR="00D539B4">
              <w:rPr>
                <w:rFonts w:ascii="Courier New" w:eastAsia="Times New Roman" w:hAnsi="Courier New" w:cs="Courier New"/>
                <w:bCs/>
              </w:rPr>
              <w:t>Табарсук</w:t>
            </w:r>
            <w:r w:rsidR="008E1400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№ 8-ФЗ от 12.01.1996 «О погребении и похоронном деле»;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3578B2" w:rsidRDefault="00DF67FD" w:rsidP="00B71BF9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Устав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</w:rPr>
              <w:t xml:space="preserve"> «</w:t>
            </w:r>
            <w:r w:rsidR="00B71BF9">
              <w:rPr>
                <w:rFonts w:ascii="Courier New" w:eastAsia="Times New Roman" w:hAnsi="Courier New" w:cs="Courier New"/>
              </w:rPr>
              <w:t>Табарсук</w:t>
            </w:r>
            <w:r w:rsidR="008E1400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Заказчик Проекта:</w:t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 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r w:rsidR="00B71BF9">
              <w:rPr>
                <w:rFonts w:ascii="Courier New" w:eastAsia="Times New Roman" w:hAnsi="Courier New" w:cs="Courier New"/>
              </w:rPr>
              <w:t>Табарсук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r w:rsidR="00B71BF9">
              <w:rPr>
                <w:rFonts w:ascii="Courier New" w:eastAsia="Times New Roman" w:hAnsi="Courier New" w:cs="Courier New"/>
              </w:rPr>
              <w:t>Табарсук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B71BF9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Реализация полномочий администрации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  <w:r w:rsidR="00B71BF9">
              <w:rPr>
                <w:rFonts w:ascii="Courier New" w:eastAsia="Times New Roman" w:hAnsi="Courier New" w:cs="Courier New"/>
              </w:rPr>
              <w:t xml:space="preserve">«Табарсук» </w:t>
            </w:r>
            <w:r w:rsidRPr="003578B2">
              <w:rPr>
                <w:rFonts w:ascii="Courier New" w:eastAsia="Times New Roman" w:hAnsi="Courier New" w:cs="Courier New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2. Выявить: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3578B2">
              <w:rPr>
                <w:rFonts w:ascii="Courier New" w:eastAsia="Times New Roman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3. Определить мероприятия: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 реализации проекта – 2019</w:t>
            </w:r>
            <w:r w:rsidR="00DF67FD" w:rsidRPr="003578B2">
              <w:rPr>
                <w:rFonts w:ascii="Courier New" w:eastAsia="Times New Roman" w:hAnsi="Courier New" w:cs="Courier New"/>
              </w:rPr>
              <w:t xml:space="preserve"> – 2025 г.г.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0311CC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r w:rsidR="00BD3BC3">
              <w:rPr>
                <w:rFonts w:ascii="Courier New" w:eastAsia="Times New Roman" w:hAnsi="Courier New" w:cs="Courier New"/>
              </w:rPr>
              <w:t>Табарсук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общественные организации, действующие на</w:t>
            </w:r>
            <w:r w:rsidR="000311CC">
              <w:rPr>
                <w:rFonts w:ascii="Courier New" w:eastAsia="Times New Roman" w:hAnsi="Courier New" w:cs="Courier New"/>
              </w:rPr>
              <w:t xml:space="preserve"> территории сельского поселения</w:t>
            </w:r>
            <w:r w:rsidRPr="003578B2">
              <w:rPr>
                <w:rFonts w:ascii="Courier New" w:eastAsia="Times New Roman" w:hAnsi="Courier New" w:cs="Courier New"/>
              </w:rPr>
              <w:t>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- население поселения.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DF67FD" w:rsidRPr="003B6741" w:rsidRDefault="00DF67FD" w:rsidP="00DF67FD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</w:t>
      </w:r>
      <w:r w:rsidR="00BD3BC3">
        <w:rPr>
          <w:rFonts w:ascii="Arial" w:eastAsia="Times New Roman" w:hAnsi="Arial" w:cs="Arial"/>
          <w:sz w:val="24"/>
          <w:szCs w:val="24"/>
        </w:rPr>
        <w:t>Табарсук</w:t>
      </w:r>
      <w:r w:rsidR="000311CC">
        <w:rPr>
          <w:rFonts w:ascii="Arial" w:eastAsia="Times New Roman" w:hAnsi="Arial" w:cs="Arial"/>
          <w:sz w:val="24"/>
          <w:szCs w:val="24"/>
        </w:rPr>
        <w:t>»</w:t>
      </w:r>
      <w:r w:rsidR="00BD3BC3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>обусло</w:t>
      </w:r>
      <w:r w:rsidR="00BD3BC3">
        <w:rPr>
          <w:rFonts w:ascii="Arial" w:eastAsia="Times New Roman" w:hAnsi="Arial" w:cs="Arial"/>
          <w:sz w:val="24"/>
          <w:szCs w:val="24"/>
        </w:rPr>
        <w:t>влена необходимостью реализации</w:t>
      </w:r>
      <w:r w:rsidRPr="003578B2">
        <w:rPr>
          <w:rFonts w:ascii="Arial" w:eastAsia="Times New Roman" w:hAnsi="Arial" w:cs="Arial"/>
          <w:sz w:val="24"/>
          <w:szCs w:val="24"/>
        </w:rPr>
        <w:t xml:space="preserve">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3578B2" w:rsidRDefault="00BD3BC3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 содержит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чёткое предста</w:t>
      </w:r>
      <w:r>
        <w:rPr>
          <w:rFonts w:ascii="Arial" w:eastAsia="Times New Roman" w:hAnsi="Arial" w:cs="Arial"/>
          <w:sz w:val="24"/>
          <w:szCs w:val="24"/>
        </w:rPr>
        <w:t>вление о  целях, ресурсах, потенциале</w:t>
      </w:r>
      <w:r w:rsidR="00DF67FD" w:rsidRPr="003578B2">
        <w:rPr>
          <w:rFonts w:ascii="Arial" w:eastAsia="Times New Roman" w:hAnsi="Arial" w:cs="Arial"/>
          <w:sz w:val="24"/>
          <w:szCs w:val="24"/>
        </w:rPr>
        <w:t xml:space="preserve"> и об основных направлениях устройства общественных кладбищ на настоящее время, а также на  среднесрочную перспективу.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</w:t>
      </w:r>
      <w:r w:rsidR="00BD3BC3">
        <w:rPr>
          <w:rFonts w:ascii="Arial" w:eastAsia="Times New Roman" w:hAnsi="Arial" w:cs="Arial"/>
          <w:sz w:val="24"/>
          <w:szCs w:val="24"/>
        </w:rPr>
        <w:t>бозначенные в Проекте,</w:t>
      </w:r>
      <w:r w:rsidRPr="003578B2">
        <w:rPr>
          <w:rFonts w:ascii="Arial" w:eastAsia="Times New Roman" w:hAnsi="Arial" w:cs="Arial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3578B2" w:rsidRDefault="00DF67FD" w:rsidP="00DF67FD">
      <w:pPr>
        <w:pStyle w:val="a8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1" w:name="_Toc125547917"/>
    </w:p>
    <w:p w:rsidR="00DF67FD" w:rsidRPr="003578B2" w:rsidRDefault="00DF67FD" w:rsidP="00DF67FD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 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Toc132716903"/>
    </w:p>
    <w:p w:rsidR="00DF67FD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BD3BC3" w:rsidRPr="003578B2" w:rsidRDefault="00BD3BC3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3578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</w:t>
      </w:r>
      <w:r w:rsidR="00BD3BC3">
        <w:rPr>
          <w:rFonts w:ascii="Arial" w:eastAsia="Times New Roman" w:hAnsi="Arial" w:cs="Arial"/>
          <w:sz w:val="24"/>
          <w:szCs w:val="24"/>
        </w:rPr>
        <w:t>Табарсук</w:t>
      </w:r>
      <w:r w:rsidR="000311CC">
        <w:rPr>
          <w:rFonts w:ascii="Arial" w:eastAsia="Times New Roman" w:hAnsi="Arial" w:cs="Arial"/>
          <w:sz w:val="24"/>
          <w:szCs w:val="24"/>
        </w:rPr>
        <w:t>»</w:t>
      </w:r>
      <w:r w:rsidR="00BD3BC3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(далее – Поселение) входят кроме административного центра – </w:t>
      </w:r>
      <w:r w:rsidR="00BD3BC3">
        <w:rPr>
          <w:rFonts w:ascii="Arial" w:eastAsia="Times New Roman" w:hAnsi="Arial" w:cs="Arial"/>
          <w:sz w:val="24"/>
          <w:szCs w:val="24"/>
        </w:rPr>
        <w:t>село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="00BD3BC3">
        <w:rPr>
          <w:rFonts w:ascii="Arial" w:eastAsia="Times New Roman" w:hAnsi="Arial" w:cs="Arial"/>
          <w:sz w:val="24"/>
          <w:szCs w:val="24"/>
        </w:rPr>
        <w:t>Табарсук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F17AD0">
        <w:rPr>
          <w:rFonts w:ascii="Arial" w:eastAsia="Times New Roman" w:hAnsi="Arial" w:cs="Arial"/>
          <w:sz w:val="24"/>
          <w:szCs w:val="24"/>
        </w:rPr>
        <w:t>три</w:t>
      </w:r>
      <w:r w:rsidRPr="003578B2">
        <w:rPr>
          <w:rFonts w:ascii="Arial" w:eastAsia="Times New Roman" w:hAnsi="Arial" w:cs="Arial"/>
          <w:sz w:val="24"/>
          <w:szCs w:val="24"/>
        </w:rPr>
        <w:t xml:space="preserve"> населенных пункт</w:t>
      </w:r>
      <w:r w:rsidR="00DB3C29" w:rsidRPr="003578B2">
        <w:rPr>
          <w:rFonts w:ascii="Arial" w:eastAsia="Times New Roman" w:hAnsi="Arial" w:cs="Arial"/>
          <w:sz w:val="24"/>
          <w:szCs w:val="24"/>
        </w:rPr>
        <w:t>а</w:t>
      </w:r>
      <w:r w:rsidRPr="003578B2">
        <w:rPr>
          <w:rFonts w:ascii="Arial" w:eastAsia="Times New Roman" w:hAnsi="Arial" w:cs="Arial"/>
          <w:sz w:val="24"/>
          <w:szCs w:val="24"/>
        </w:rPr>
        <w:t>: деревн</w:t>
      </w:r>
      <w:r w:rsidR="00BD3BC3">
        <w:rPr>
          <w:rFonts w:ascii="Arial" w:eastAsia="Times New Roman" w:hAnsi="Arial" w:cs="Arial"/>
          <w:sz w:val="24"/>
          <w:szCs w:val="24"/>
        </w:rPr>
        <w:t>я</w:t>
      </w:r>
      <w:r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="00BD3BC3">
        <w:rPr>
          <w:rFonts w:ascii="Arial" w:eastAsia="Times New Roman" w:hAnsi="Arial" w:cs="Arial"/>
          <w:sz w:val="24"/>
          <w:szCs w:val="24"/>
        </w:rPr>
        <w:t>Дута,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="00BD3BC3">
        <w:rPr>
          <w:rFonts w:ascii="Arial" w:eastAsia="Times New Roman" w:hAnsi="Arial" w:cs="Arial"/>
          <w:sz w:val="24"/>
          <w:szCs w:val="24"/>
        </w:rPr>
        <w:t>деревня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="00BD3BC3">
        <w:rPr>
          <w:rFonts w:ascii="Arial" w:eastAsia="Times New Roman" w:hAnsi="Arial" w:cs="Arial"/>
          <w:sz w:val="24"/>
          <w:szCs w:val="24"/>
        </w:rPr>
        <w:t>Кирюшина</w:t>
      </w:r>
      <w:r w:rsidR="004D6C57">
        <w:rPr>
          <w:rFonts w:ascii="Arial" w:eastAsia="Times New Roman" w:hAnsi="Arial" w:cs="Arial"/>
          <w:sz w:val="24"/>
          <w:szCs w:val="24"/>
        </w:rPr>
        <w:t>,</w:t>
      </w:r>
      <w:r w:rsidR="00F17AD0">
        <w:rPr>
          <w:rFonts w:ascii="Arial" w:eastAsia="Times New Roman" w:hAnsi="Arial" w:cs="Arial"/>
          <w:sz w:val="24"/>
          <w:szCs w:val="24"/>
        </w:rPr>
        <w:t xml:space="preserve"> деревня Большая </w:t>
      </w:r>
      <w:proofErr w:type="spellStart"/>
      <w:r w:rsidR="00F17AD0">
        <w:rPr>
          <w:rFonts w:ascii="Arial" w:eastAsia="Times New Roman" w:hAnsi="Arial" w:cs="Arial"/>
          <w:sz w:val="24"/>
          <w:szCs w:val="24"/>
        </w:rPr>
        <w:t>Ерма</w:t>
      </w:r>
      <w:proofErr w:type="spellEnd"/>
      <w:r w:rsidR="00F17AD0">
        <w:rPr>
          <w:rFonts w:ascii="Arial" w:eastAsia="Times New Roman" w:hAnsi="Arial" w:cs="Arial"/>
          <w:sz w:val="24"/>
          <w:szCs w:val="24"/>
        </w:rPr>
        <w:t>.</w:t>
      </w:r>
      <w:r w:rsidR="004D6C57">
        <w:rPr>
          <w:rFonts w:ascii="Arial" w:eastAsia="Times New Roman" w:hAnsi="Arial" w:cs="Arial"/>
          <w:sz w:val="24"/>
          <w:szCs w:val="24"/>
        </w:rPr>
        <w:t xml:space="preserve"> </w:t>
      </w:r>
      <w:r w:rsidR="000311CC">
        <w:rPr>
          <w:rFonts w:ascii="Arial" w:eastAsia="Times New Roman" w:hAnsi="Arial" w:cs="Arial"/>
          <w:sz w:val="24"/>
          <w:szCs w:val="24"/>
        </w:rPr>
        <w:t xml:space="preserve">Расстояние от </w:t>
      </w:r>
      <w:r w:rsidR="00BD3BC3">
        <w:rPr>
          <w:rFonts w:ascii="Arial" w:eastAsia="Times New Roman" w:hAnsi="Arial" w:cs="Arial"/>
          <w:sz w:val="24"/>
          <w:szCs w:val="24"/>
        </w:rPr>
        <w:t>с</w:t>
      </w:r>
      <w:r w:rsidR="000311CC">
        <w:rPr>
          <w:rFonts w:ascii="Arial" w:eastAsia="Times New Roman" w:hAnsi="Arial" w:cs="Arial"/>
          <w:sz w:val="24"/>
          <w:szCs w:val="24"/>
        </w:rPr>
        <w:t>.</w:t>
      </w:r>
      <w:r w:rsidR="00BD3BC3">
        <w:rPr>
          <w:rFonts w:ascii="Arial" w:eastAsia="Times New Roman" w:hAnsi="Arial" w:cs="Arial"/>
          <w:sz w:val="24"/>
          <w:szCs w:val="24"/>
        </w:rPr>
        <w:t xml:space="preserve"> Табарсук</w:t>
      </w:r>
      <w:r w:rsidRPr="003578B2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r w:rsidR="000311C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утулик</w:t>
      </w:r>
      <w:r w:rsidRPr="003578B2">
        <w:rPr>
          <w:rFonts w:ascii="Arial" w:eastAsia="Times New Roman" w:hAnsi="Arial" w:cs="Arial"/>
          <w:sz w:val="24"/>
          <w:szCs w:val="24"/>
        </w:rPr>
        <w:t xml:space="preserve">  - </w:t>
      </w:r>
      <w:r w:rsidR="003449B1">
        <w:rPr>
          <w:rFonts w:ascii="Arial" w:eastAsia="Times New Roman" w:hAnsi="Arial" w:cs="Arial"/>
          <w:sz w:val="24"/>
          <w:szCs w:val="24"/>
        </w:rPr>
        <w:t>11,3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км, до столицы региона, г.</w:t>
      </w:r>
      <w:r w:rsidR="00DB3C29" w:rsidRPr="003578B2">
        <w:rPr>
          <w:rFonts w:ascii="Arial" w:eastAsia="Times New Roman" w:hAnsi="Arial" w:cs="Arial"/>
          <w:sz w:val="24"/>
          <w:szCs w:val="24"/>
        </w:rPr>
        <w:t>Иркутск</w:t>
      </w:r>
      <w:r w:rsidR="000311CC">
        <w:rPr>
          <w:rFonts w:ascii="Arial" w:eastAsia="Times New Roman" w:hAnsi="Arial" w:cs="Arial"/>
          <w:sz w:val="24"/>
          <w:szCs w:val="24"/>
        </w:rPr>
        <w:t xml:space="preserve"> -</w:t>
      </w:r>
      <w:r w:rsidR="00931654">
        <w:rPr>
          <w:rFonts w:ascii="Arial" w:eastAsia="Times New Roman" w:hAnsi="Arial" w:cs="Arial"/>
          <w:sz w:val="24"/>
          <w:szCs w:val="24"/>
        </w:rPr>
        <w:t xml:space="preserve"> </w:t>
      </w:r>
      <w:r w:rsidR="003449B1">
        <w:rPr>
          <w:rFonts w:ascii="Arial" w:eastAsia="Times New Roman" w:hAnsi="Arial" w:cs="Arial"/>
          <w:sz w:val="24"/>
          <w:szCs w:val="24"/>
        </w:rPr>
        <w:t xml:space="preserve">194 </w:t>
      </w:r>
      <w:r w:rsidRPr="003578B2">
        <w:rPr>
          <w:rFonts w:ascii="Arial" w:eastAsia="Times New Roman" w:hAnsi="Arial" w:cs="Arial"/>
          <w:sz w:val="24"/>
          <w:szCs w:val="24"/>
        </w:rPr>
        <w:t>км.</w:t>
      </w:r>
    </w:p>
    <w:bookmarkEnd w:id="1"/>
    <w:bookmarkEnd w:id="2"/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Общая площадь Поселения составляет </w:t>
      </w:r>
      <w:r w:rsidR="00931654">
        <w:rPr>
          <w:rFonts w:ascii="Arial" w:eastAsia="Times New Roman" w:hAnsi="Arial" w:cs="Arial"/>
          <w:sz w:val="24"/>
          <w:szCs w:val="24"/>
        </w:rPr>
        <w:t>14</w:t>
      </w:r>
      <w:r w:rsidR="004D6C57">
        <w:rPr>
          <w:rFonts w:ascii="Arial" w:eastAsia="Times New Roman" w:hAnsi="Arial" w:cs="Arial"/>
          <w:sz w:val="24"/>
          <w:szCs w:val="24"/>
        </w:rPr>
        <w:t>1</w:t>
      </w:r>
      <w:r w:rsidR="00931654">
        <w:rPr>
          <w:rFonts w:ascii="Arial" w:eastAsia="Times New Roman" w:hAnsi="Arial" w:cs="Arial"/>
          <w:sz w:val="24"/>
          <w:szCs w:val="24"/>
        </w:rPr>
        <w:t>,</w:t>
      </w:r>
      <w:r w:rsidR="004D6C57">
        <w:rPr>
          <w:rFonts w:ascii="Arial" w:eastAsia="Times New Roman" w:hAnsi="Arial" w:cs="Arial"/>
          <w:sz w:val="24"/>
          <w:szCs w:val="24"/>
        </w:rPr>
        <w:t>4</w:t>
      </w:r>
      <w:r w:rsidR="00931654">
        <w:rPr>
          <w:rFonts w:ascii="Arial" w:eastAsia="Times New Roman" w:hAnsi="Arial" w:cs="Arial"/>
          <w:sz w:val="24"/>
          <w:szCs w:val="24"/>
        </w:rPr>
        <w:t xml:space="preserve"> кв.м.</w:t>
      </w:r>
      <w:r w:rsidRPr="003578B2">
        <w:rPr>
          <w:rFonts w:ascii="Arial" w:eastAsia="Times New Roman" w:hAnsi="Arial" w:cs="Arial"/>
          <w:sz w:val="24"/>
          <w:szCs w:val="24"/>
        </w:rPr>
        <w:t>. Численность н</w:t>
      </w:r>
      <w:r w:rsidR="000311CC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0311CC">
        <w:rPr>
          <w:rFonts w:ascii="Arial" w:eastAsia="Times New Roman" w:hAnsi="Arial" w:cs="Arial"/>
          <w:sz w:val="24"/>
          <w:szCs w:val="24"/>
        </w:rPr>
        <w:t>8</w:t>
      </w:r>
      <w:r w:rsidR="004D6C57">
        <w:rPr>
          <w:rFonts w:ascii="Arial" w:eastAsia="Times New Roman" w:hAnsi="Arial" w:cs="Arial"/>
          <w:sz w:val="24"/>
          <w:szCs w:val="24"/>
        </w:rPr>
        <w:t>50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Pr="003578B2">
        <w:rPr>
          <w:rFonts w:ascii="Arial" w:eastAsia="Times New Roman" w:hAnsi="Arial" w:cs="Arial"/>
          <w:sz w:val="24"/>
          <w:szCs w:val="24"/>
        </w:rPr>
        <w:t xml:space="preserve">, в том числе:  </w:t>
      </w:r>
      <w:proofErr w:type="spellStart"/>
      <w:r w:rsidR="004D6C57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</w:t>
      </w:r>
      <w:r w:rsidR="004D6C57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="004D6C57">
        <w:rPr>
          <w:rFonts w:ascii="Arial" w:eastAsia="Times New Roman" w:hAnsi="Arial" w:cs="Arial"/>
          <w:sz w:val="24"/>
          <w:szCs w:val="24"/>
        </w:rPr>
        <w:t>абарсук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4D6C57">
        <w:rPr>
          <w:rFonts w:ascii="Arial" w:eastAsia="Times New Roman" w:hAnsi="Arial" w:cs="Arial"/>
          <w:sz w:val="24"/>
          <w:szCs w:val="24"/>
        </w:rPr>
        <w:t xml:space="preserve">583 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человек, д.</w:t>
      </w:r>
      <w:r w:rsidR="004D6C57">
        <w:rPr>
          <w:rFonts w:ascii="Arial" w:eastAsia="Times New Roman" w:hAnsi="Arial" w:cs="Arial"/>
          <w:sz w:val="24"/>
          <w:szCs w:val="24"/>
        </w:rPr>
        <w:t>Дута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4D6C57">
        <w:rPr>
          <w:rFonts w:ascii="Arial" w:eastAsia="Times New Roman" w:hAnsi="Arial" w:cs="Arial"/>
          <w:sz w:val="24"/>
          <w:szCs w:val="24"/>
        </w:rPr>
        <w:t>94</w:t>
      </w:r>
      <w:r w:rsidR="000311CC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а</w:t>
      </w:r>
      <w:r w:rsidR="000311CC">
        <w:rPr>
          <w:rFonts w:ascii="Arial" w:eastAsia="Times New Roman" w:hAnsi="Arial" w:cs="Arial"/>
          <w:sz w:val="24"/>
          <w:szCs w:val="24"/>
        </w:rPr>
        <w:t xml:space="preserve">, </w:t>
      </w:r>
      <w:r w:rsidR="004D6C57">
        <w:rPr>
          <w:rFonts w:ascii="Arial" w:eastAsia="Times New Roman" w:hAnsi="Arial" w:cs="Arial"/>
          <w:sz w:val="24"/>
          <w:szCs w:val="24"/>
        </w:rPr>
        <w:t>д</w:t>
      </w:r>
      <w:r w:rsidR="000311CC">
        <w:rPr>
          <w:rFonts w:ascii="Arial" w:eastAsia="Times New Roman" w:hAnsi="Arial" w:cs="Arial"/>
          <w:sz w:val="24"/>
          <w:szCs w:val="24"/>
        </w:rPr>
        <w:t>.</w:t>
      </w:r>
      <w:r w:rsidR="004D6C57">
        <w:rPr>
          <w:rFonts w:ascii="Arial" w:eastAsia="Times New Roman" w:hAnsi="Arial" w:cs="Arial"/>
          <w:sz w:val="24"/>
          <w:szCs w:val="24"/>
        </w:rPr>
        <w:t>Кирюшина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4D6C57">
        <w:rPr>
          <w:rFonts w:ascii="Arial" w:eastAsia="Times New Roman" w:hAnsi="Arial" w:cs="Arial"/>
          <w:sz w:val="24"/>
          <w:szCs w:val="24"/>
        </w:rPr>
        <w:t>135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4D6C57">
        <w:rPr>
          <w:rFonts w:ascii="Arial" w:eastAsia="Times New Roman" w:hAnsi="Arial" w:cs="Arial"/>
          <w:sz w:val="24"/>
          <w:szCs w:val="24"/>
        </w:rPr>
        <w:t xml:space="preserve">, д.Большая </w:t>
      </w:r>
      <w:proofErr w:type="spellStart"/>
      <w:r w:rsidR="004D6C57">
        <w:rPr>
          <w:rFonts w:ascii="Arial" w:eastAsia="Times New Roman" w:hAnsi="Arial" w:cs="Arial"/>
          <w:sz w:val="24"/>
          <w:szCs w:val="24"/>
        </w:rPr>
        <w:t>Ерма</w:t>
      </w:r>
      <w:proofErr w:type="spellEnd"/>
      <w:r w:rsidR="004D6C57">
        <w:rPr>
          <w:rFonts w:ascii="Arial" w:eastAsia="Times New Roman" w:hAnsi="Arial" w:cs="Arial"/>
          <w:sz w:val="24"/>
          <w:szCs w:val="24"/>
        </w:rPr>
        <w:t xml:space="preserve"> – 38 человек</w:t>
      </w:r>
      <w:r w:rsidR="008939CF">
        <w:rPr>
          <w:rFonts w:ascii="Arial" w:eastAsia="Times New Roman" w:hAnsi="Arial" w:cs="Arial"/>
          <w:sz w:val="24"/>
          <w:szCs w:val="24"/>
        </w:rPr>
        <w:t>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DF67FD" w:rsidRPr="00C30915" w:rsidRDefault="00DF67FD" w:rsidP="00C30915">
      <w:pPr>
        <w:pStyle w:val="a8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На территории Поселения захоронения осуществляются: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311CC"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</w:t>
      </w:r>
      <w:proofErr w:type="spellStart"/>
      <w:r w:rsidR="005A1C69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</w:t>
      </w:r>
      <w:r w:rsidR="005A1C69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="005A1C69">
        <w:rPr>
          <w:rFonts w:ascii="Arial" w:eastAsia="Times New Roman" w:hAnsi="Arial" w:cs="Arial"/>
          <w:sz w:val="24"/>
          <w:szCs w:val="24"/>
        </w:rPr>
        <w:t>абарсук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proofErr w:type="spellStart"/>
      <w:r w:rsidR="00EF5F98">
        <w:rPr>
          <w:rFonts w:ascii="Arial" w:eastAsia="Times New Roman" w:hAnsi="Arial" w:cs="Arial"/>
          <w:sz w:val="24"/>
          <w:szCs w:val="24"/>
        </w:rPr>
        <w:t>с.Табарсук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222F66">
        <w:rPr>
          <w:rFonts w:ascii="Arial" w:eastAsia="Times New Roman" w:hAnsi="Arial" w:cs="Arial"/>
          <w:sz w:val="24"/>
          <w:szCs w:val="24"/>
        </w:rPr>
        <w:t>1</w:t>
      </w:r>
      <w:r w:rsidR="009C1FDC">
        <w:rPr>
          <w:rFonts w:ascii="Arial" w:eastAsia="Times New Roman" w:hAnsi="Arial" w:cs="Arial"/>
          <w:sz w:val="24"/>
          <w:szCs w:val="24"/>
        </w:rPr>
        <w:t>,</w:t>
      </w:r>
      <w:r w:rsidR="00222F66">
        <w:rPr>
          <w:rFonts w:ascii="Arial" w:eastAsia="Times New Roman" w:hAnsi="Arial" w:cs="Arial"/>
          <w:sz w:val="24"/>
          <w:szCs w:val="24"/>
        </w:rPr>
        <w:t>39</w:t>
      </w:r>
      <w:r w:rsidR="009C1FD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га;</w:t>
      </w:r>
    </w:p>
    <w:p w:rsidR="000311CC" w:rsidRDefault="00DF67FD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умерших граждан, проживавших в д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.</w:t>
      </w:r>
      <w:r w:rsidR="00EF5F98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="00EF5F98">
        <w:rPr>
          <w:rFonts w:ascii="Arial" w:eastAsia="Times New Roman" w:hAnsi="Arial" w:cs="Arial"/>
          <w:sz w:val="24"/>
          <w:szCs w:val="24"/>
        </w:rPr>
        <w:t>ута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BC5B45" w:rsidRPr="003578B2">
        <w:rPr>
          <w:rFonts w:ascii="Arial" w:eastAsia="Times New Roman" w:hAnsi="Arial" w:cs="Arial"/>
          <w:sz w:val="24"/>
          <w:szCs w:val="24"/>
        </w:rPr>
        <w:t>ем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BC5B45" w:rsidRPr="003578B2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 традиционного типа </w:t>
      </w:r>
      <w:r w:rsidR="00EF5F98">
        <w:rPr>
          <w:rFonts w:ascii="Arial" w:eastAsia="Times New Roman" w:hAnsi="Arial" w:cs="Arial"/>
          <w:sz w:val="24"/>
          <w:szCs w:val="24"/>
        </w:rPr>
        <w:t xml:space="preserve">в </w:t>
      </w:r>
      <w:r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="000311CC">
        <w:rPr>
          <w:rFonts w:ascii="Arial" w:eastAsia="Times New Roman" w:hAnsi="Arial" w:cs="Arial"/>
          <w:sz w:val="24"/>
          <w:szCs w:val="24"/>
        </w:rPr>
        <w:t>д.</w:t>
      </w:r>
      <w:r w:rsidR="00EF5F98">
        <w:rPr>
          <w:rFonts w:ascii="Arial" w:eastAsia="Times New Roman" w:hAnsi="Arial" w:cs="Arial"/>
          <w:sz w:val="24"/>
          <w:szCs w:val="24"/>
        </w:rPr>
        <w:t xml:space="preserve">Дута </w:t>
      </w:r>
      <w:r w:rsidR="009C1FDC">
        <w:rPr>
          <w:rFonts w:ascii="Arial" w:eastAsia="Times New Roman" w:hAnsi="Arial" w:cs="Arial"/>
          <w:sz w:val="24"/>
          <w:szCs w:val="24"/>
        </w:rPr>
        <w:t>площадью 0,36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 w:rsidR="00EF5F98">
        <w:rPr>
          <w:rFonts w:ascii="Arial" w:eastAsia="Times New Roman" w:hAnsi="Arial" w:cs="Arial"/>
          <w:sz w:val="24"/>
          <w:szCs w:val="24"/>
        </w:rPr>
        <w:t>;</w:t>
      </w:r>
    </w:p>
    <w:p w:rsidR="00EF5F98" w:rsidRDefault="00EF5F98" w:rsidP="00EF5F98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умерших граждан, проживавших в д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ирюшина и д.Большая </w:t>
      </w:r>
      <w:proofErr w:type="spellStart"/>
      <w:r>
        <w:rPr>
          <w:rFonts w:ascii="Arial" w:eastAsia="Times New Roman" w:hAnsi="Arial" w:cs="Arial"/>
          <w:sz w:val="24"/>
          <w:szCs w:val="24"/>
        </w:rPr>
        <w:t>Ерма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типа  </w:t>
      </w:r>
      <w:r>
        <w:rPr>
          <w:rFonts w:ascii="Arial" w:eastAsia="Times New Roman" w:hAnsi="Arial" w:cs="Arial"/>
          <w:sz w:val="24"/>
          <w:szCs w:val="24"/>
        </w:rPr>
        <w:t xml:space="preserve">д.Большая </w:t>
      </w:r>
      <w:proofErr w:type="spellStart"/>
      <w:r>
        <w:rPr>
          <w:rFonts w:ascii="Arial" w:eastAsia="Times New Roman" w:hAnsi="Arial" w:cs="Arial"/>
          <w:sz w:val="24"/>
          <w:szCs w:val="24"/>
        </w:rPr>
        <w:t>Ерма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Pr="008939CF">
        <w:rPr>
          <w:rFonts w:ascii="Arial" w:eastAsia="Times New Roman" w:hAnsi="Arial" w:cs="Arial"/>
          <w:sz w:val="24"/>
          <w:szCs w:val="24"/>
        </w:rPr>
        <w:t>0,</w:t>
      </w:r>
      <w:r w:rsidR="008939CF">
        <w:rPr>
          <w:rFonts w:ascii="Arial" w:eastAsia="Times New Roman" w:hAnsi="Arial" w:cs="Arial"/>
          <w:sz w:val="24"/>
          <w:szCs w:val="24"/>
        </w:rPr>
        <w:t>51</w:t>
      </w:r>
      <w:r w:rsidRPr="003578B2">
        <w:rPr>
          <w:rFonts w:ascii="Arial" w:eastAsia="Times New Roman" w:hAnsi="Arial" w:cs="Arial"/>
          <w:sz w:val="24"/>
          <w:szCs w:val="24"/>
        </w:rPr>
        <w:t>га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311CC" w:rsidRPr="000311CC" w:rsidRDefault="000311CC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2F66" w:rsidRDefault="00DF67FD" w:rsidP="00222F66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222F66" w:rsidRPr="003578B2" w:rsidRDefault="00222F66" w:rsidP="00222F66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Pr="003578B2" w:rsidRDefault="00DF67FD" w:rsidP="00DF67F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DF67FD" w:rsidRPr="00EB66AE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tblLayout w:type="fixed"/>
        <w:tblLook w:val="04A0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DF67FD" w:rsidRPr="00EB66AE" w:rsidTr="00F6717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 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Норма-тивная</w:t>
            </w:r>
            <w:proofErr w:type="spellEnd"/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потреб-ность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DF67FD" w:rsidRPr="00EB66AE" w:rsidTr="008939CF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требуется 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запроек-тировать</w:t>
            </w:r>
            <w:proofErr w:type="spellEnd"/>
            <w:proofErr w:type="gramEnd"/>
          </w:p>
        </w:tc>
      </w:tr>
      <w:tr w:rsidR="008939CF" w:rsidRPr="00EB66AE" w:rsidTr="00B45FCA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39CF" w:rsidRDefault="008939C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0,2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3578B2">
              <w:rPr>
                <w:rFonts w:ascii="Courier New" w:eastAsia="Times New Roman" w:hAnsi="Courier New" w:cs="Courier New"/>
              </w:rPr>
              <w:t xml:space="preserve"> га на 1 тыс. жителей</w:t>
            </w:r>
          </w:p>
          <w:p w:rsidR="008939CF" w:rsidRDefault="008939C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8939CF" w:rsidRPr="003578B2" w:rsidRDefault="008939C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8939CF" w:rsidRPr="00EB66AE" w:rsidTr="00B45FC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CF" w:rsidRPr="003578B2" w:rsidRDefault="008939C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Табарсук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222F66" w:rsidRDefault="008939CF" w:rsidP="00222F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>583 тыс.чел.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0,1</w:t>
            </w:r>
            <w:r w:rsidRPr="003578B2">
              <w:rPr>
                <w:rFonts w:ascii="Courier New" w:eastAsia="Times New Roman" w:hAnsi="Courier New" w:cs="Courier New"/>
                <w:b/>
                <w:lang w:val="en-US" w:eastAsia="ar-SA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222F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FE5720" w:rsidRDefault="008939CF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8939CF" w:rsidRPr="00EB66AE" w:rsidTr="00B45FC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222F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lang w:eastAsia="ar-SA"/>
              </w:rPr>
              <w:t>094 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ел.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8939CF" w:rsidRPr="00EB66AE" w:rsidTr="00B45FC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Большая </w:t>
            </w:r>
            <w:proofErr w:type="spellStart"/>
            <w:r>
              <w:rPr>
                <w:rFonts w:ascii="Courier New" w:eastAsia="Times New Roman" w:hAnsi="Courier New" w:cs="Courier New"/>
              </w:rPr>
              <w:t>Ерма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Pr="003578B2" w:rsidRDefault="008939CF" w:rsidP="00222F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lang w:eastAsia="ar-SA"/>
              </w:rPr>
              <w:t>173 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ел.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Default="008939C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939CF">
              <w:rPr>
                <w:rFonts w:ascii="Courier New" w:eastAsia="Times New Roman" w:hAnsi="Courier New" w:cs="Courier New"/>
                <w:lang w:eastAsia="ar-SA"/>
              </w:rPr>
              <w:t>0.</w:t>
            </w:r>
            <w:r>
              <w:rPr>
                <w:rFonts w:ascii="Courier New" w:eastAsia="Times New Roman" w:hAnsi="Courier New" w:cs="Courier New"/>
                <w:lang w:eastAsia="ar-SA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F" w:rsidRDefault="005E360A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Default="00DF67FD" w:rsidP="00F85A00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2.4.</w:t>
      </w: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222F66" w:rsidRPr="003578B2" w:rsidRDefault="00222F66" w:rsidP="00F85A00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CC1BB6" w:rsidP="00C30915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во всех </w:t>
      </w:r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>населенных пунктах муниципального образования</w:t>
      </w:r>
      <w:r w:rsidR="00DF67FD"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0643E4">
      <w:pPr>
        <w:pStyle w:val="a8"/>
        <w:ind w:firstLine="70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Pr="00606B07" w:rsidRDefault="00DF67FD" w:rsidP="000643E4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2.Необходимо выявить соответствие имеющихся и фун</w:t>
      </w:r>
      <w:r w:rsidR="00C00379">
        <w:rPr>
          <w:rFonts w:ascii="Arial" w:eastAsia="Times New Roman" w:hAnsi="Arial" w:cs="Arial"/>
          <w:sz w:val="24"/>
          <w:szCs w:val="24"/>
        </w:rPr>
        <w:t>кционирующих кладбищ Поселения</w:t>
      </w:r>
      <w:r w:rsidRPr="003578B2">
        <w:rPr>
          <w:rFonts w:ascii="Arial" w:eastAsia="Times New Roman" w:hAnsi="Arial" w:cs="Arial"/>
          <w:sz w:val="24"/>
          <w:szCs w:val="24"/>
        </w:rPr>
        <w:t xml:space="preserve"> санитарно-эпидемиологическим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к размещению </w:t>
      </w:r>
      <w:proofErr w:type="gramStart"/>
      <w:r w:rsidRPr="003578B2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DF67FD" w:rsidRPr="003578B2" w:rsidRDefault="00B6043B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функционирующих кладбищ 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гигиеническим требованиям,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C30915">
      <w:pPr>
        <w:spacing w:after="0"/>
        <w:ind w:firstLine="567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lastRenderedPageBreak/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4870" w:type="pct"/>
        <w:tblLayout w:type="fixed"/>
        <w:tblLook w:val="04A0"/>
      </w:tblPr>
      <w:tblGrid>
        <w:gridCol w:w="1102"/>
        <w:gridCol w:w="2140"/>
        <w:gridCol w:w="1969"/>
        <w:gridCol w:w="1844"/>
        <w:gridCol w:w="2267"/>
      </w:tblGrid>
      <w:tr w:rsidR="00B6043B" w:rsidTr="00B6043B">
        <w:trPr>
          <w:trHeight w:val="345"/>
        </w:trPr>
        <w:tc>
          <w:tcPr>
            <w:tcW w:w="1739" w:type="pct"/>
            <w:gridSpan w:val="2"/>
            <w:vMerge w:val="restar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3261" w:type="pct"/>
            <w:gridSpan w:val="3"/>
          </w:tcPr>
          <w:p w:rsidR="00B6043B" w:rsidRDefault="00B6043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Существующее положение 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на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</w:p>
          <w:p w:rsidR="00B6043B" w:rsidRDefault="00B6043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</w:rPr>
              <w:t>кладбищах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Поселения</w:t>
            </w:r>
          </w:p>
        </w:tc>
      </w:tr>
      <w:tr w:rsidR="00B6043B" w:rsidTr="00B6043B">
        <w:trPr>
          <w:trHeight w:val="465"/>
        </w:trPr>
        <w:tc>
          <w:tcPr>
            <w:tcW w:w="1739" w:type="pct"/>
            <w:gridSpan w:val="2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</w:rPr>
              <w:t>абарсук</w:t>
            </w:r>
            <w:proofErr w:type="spellEnd"/>
          </w:p>
        </w:tc>
        <w:tc>
          <w:tcPr>
            <w:tcW w:w="989" w:type="pct"/>
          </w:tcPr>
          <w:p w:rsidR="00B6043B" w:rsidRPr="003578B2" w:rsidRDefault="00B6043B" w:rsidP="00EA375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.Д</w:t>
            </w:r>
            <w:proofErr w:type="gramEnd"/>
            <w:r>
              <w:rPr>
                <w:rFonts w:ascii="Courier New" w:eastAsia="Times New Roman" w:hAnsi="Courier New" w:cs="Courier New"/>
              </w:rPr>
              <w:t>ута</w:t>
            </w:r>
          </w:p>
        </w:tc>
        <w:tc>
          <w:tcPr>
            <w:tcW w:w="1216" w:type="pct"/>
          </w:tcPr>
          <w:p w:rsidR="00B6043B" w:rsidRDefault="00B6043B" w:rsidP="00EA375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ольшая </w:t>
            </w:r>
            <w:proofErr w:type="spellStart"/>
            <w:r>
              <w:rPr>
                <w:rFonts w:ascii="Courier New" w:eastAsia="Times New Roman" w:hAnsi="Courier New" w:cs="Courier New"/>
              </w:rPr>
              <w:t>Ерма</w:t>
            </w:r>
            <w:proofErr w:type="spellEnd"/>
          </w:p>
        </w:tc>
      </w:tr>
      <w:tr w:rsidR="00B6043B" w:rsidTr="00B6043B">
        <w:trPr>
          <w:cantSplit/>
          <w:trHeight w:val="1405"/>
        </w:trPr>
        <w:tc>
          <w:tcPr>
            <w:tcW w:w="591" w:type="pct"/>
            <w:vMerge w:val="restart"/>
            <w:textDirection w:val="btLr"/>
          </w:tcPr>
          <w:p w:rsidR="00B6043B" w:rsidRPr="003578B2" w:rsidRDefault="00B6043B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056" w:type="pct"/>
            <w:vAlign w:val="center"/>
          </w:tcPr>
          <w:p w:rsidR="00B6043B" w:rsidRPr="003578B2" w:rsidRDefault="00B6043B" w:rsidP="00DD3FB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  <w:vAlign w:val="center"/>
          </w:tcPr>
          <w:p w:rsidR="00B6043B" w:rsidRPr="003578B2" w:rsidRDefault="00B6043B" w:rsidP="00DD3FB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  <w:vAlign w:val="center"/>
          </w:tcPr>
          <w:p w:rsidR="00B6043B" w:rsidRPr="003578B2" w:rsidRDefault="00B6043B" w:rsidP="00DD3FB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c>
          <w:tcPr>
            <w:tcW w:w="591" w:type="pct"/>
            <w:vMerge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c>
          <w:tcPr>
            <w:tcW w:w="591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1401"/>
        </w:trPr>
        <w:tc>
          <w:tcPr>
            <w:tcW w:w="591" w:type="pct"/>
            <w:vMerge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578B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1769"/>
        </w:trPr>
        <w:tc>
          <w:tcPr>
            <w:tcW w:w="591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cantSplit/>
          <w:trHeight w:val="1536"/>
        </w:trPr>
        <w:tc>
          <w:tcPr>
            <w:tcW w:w="591" w:type="pct"/>
            <w:vMerge w:val="restart"/>
            <w:textDirection w:val="btLr"/>
          </w:tcPr>
          <w:p w:rsidR="00B6043B" w:rsidRPr="003578B2" w:rsidRDefault="00B6043B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633"/>
        </w:trPr>
        <w:tc>
          <w:tcPr>
            <w:tcW w:w="591" w:type="pct"/>
            <w:vMerge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840"/>
        </w:trPr>
        <w:tc>
          <w:tcPr>
            <w:tcW w:w="591" w:type="pct"/>
            <w:vMerge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1435"/>
        </w:trPr>
        <w:tc>
          <w:tcPr>
            <w:tcW w:w="591" w:type="pct"/>
            <w:vMerge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cantSplit/>
          <w:trHeight w:val="1536"/>
        </w:trPr>
        <w:tc>
          <w:tcPr>
            <w:tcW w:w="591" w:type="pct"/>
            <w:vMerge w:val="restart"/>
            <w:textDirection w:val="btLr"/>
          </w:tcPr>
          <w:p w:rsidR="00B6043B" w:rsidRPr="003578B2" w:rsidRDefault="00B6043B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B6043B" w:rsidTr="00B6043B">
        <w:trPr>
          <w:trHeight w:val="1536"/>
        </w:trPr>
        <w:tc>
          <w:tcPr>
            <w:tcW w:w="591" w:type="pct"/>
            <w:vMerge/>
          </w:tcPr>
          <w:p w:rsidR="00B6043B" w:rsidRPr="00AB385C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:rsidR="00B6043B" w:rsidRPr="003578B2" w:rsidRDefault="00B6043B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0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89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1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DD3FB0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60649D" w:rsidRDefault="0060649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  <w:sectPr w:rsidR="0060649D" w:rsidSect="00FF5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lastRenderedPageBreak/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4926" w:type="pct"/>
        <w:tblLook w:val="04A0"/>
      </w:tblPr>
      <w:tblGrid>
        <w:gridCol w:w="747"/>
        <w:gridCol w:w="3123"/>
        <w:gridCol w:w="3752"/>
        <w:gridCol w:w="3825"/>
        <w:gridCol w:w="3120"/>
      </w:tblGrid>
      <w:tr w:rsidR="00B6043B" w:rsidRPr="00B30054" w:rsidTr="00B6043B">
        <w:trPr>
          <w:trHeight w:val="345"/>
        </w:trPr>
        <w:tc>
          <w:tcPr>
            <w:tcW w:w="1328" w:type="pct"/>
            <w:gridSpan w:val="2"/>
            <w:vMerge w:val="restar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3672" w:type="pct"/>
            <w:gridSpan w:val="3"/>
          </w:tcPr>
          <w:p w:rsidR="00B6043B" w:rsidRPr="003578B2" w:rsidRDefault="00B6043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B6043B" w:rsidRPr="00B30054" w:rsidTr="00B6043B">
        <w:trPr>
          <w:trHeight w:val="465"/>
        </w:trPr>
        <w:tc>
          <w:tcPr>
            <w:tcW w:w="1328" w:type="pct"/>
            <w:gridSpan w:val="2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</w:rPr>
              <w:t>абарсук</w:t>
            </w:r>
            <w:proofErr w:type="spellEnd"/>
          </w:p>
        </w:tc>
        <w:tc>
          <w:tcPr>
            <w:tcW w:w="1313" w:type="pct"/>
          </w:tcPr>
          <w:p w:rsidR="00B6043B" w:rsidRPr="003578B2" w:rsidRDefault="00B6043B" w:rsidP="0060649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Д</w:t>
            </w:r>
            <w:proofErr w:type="gramEnd"/>
            <w:r>
              <w:rPr>
                <w:rFonts w:ascii="Courier New" w:eastAsia="Times New Roman" w:hAnsi="Courier New" w:cs="Courier New"/>
              </w:rPr>
              <w:t>ута</w:t>
            </w:r>
          </w:p>
        </w:tc>
        <w:tc>
          <w:tcPr>
            <w:tcW w:w="1071" w:type="pct"/>
          </w:tcPr>
          <w:p w:rsidR="00B6043B" w:rsidRPr="003578B2" w:rsidRDefault="00B6043B" w:rsidP="0060649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ольшая </w:t>
            </w:r>
            <w:proofErr w:type="spellStart"/>
            <w:r>
              <w:rPr>
                <w:rFonts w:ascii="Courier New" w:eastAsia="Times New Roman" w:hAnsi="Courier New" w:cs="Courier New"/>
              </w:rPr>
              <w:t>Ерма</w:t>
            </w:r>
            <w:proofErr w:type="spellEnd"/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 w:val="restart"/>
            <w:textDirection w:val="btLr"/>
          </w:tcPr>
          <w:p w:rsidR="00B6043B" w:rsidRPr="00C30915" w:rsidRDefault="00B6043B" w:rsidP="00F6717C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88" w:type="pct"/>
          </w:tcPr>
          <w:p w:rsidR="00B6043B" w:rsidRPr="003578B2" w:rsidRDefault="00B6043B" w:rsidP="00DF0240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</w:t>
            </w:r>
            <w:r w:rsidR="00DF0240">
              <w:rPr>
                <w:rFonts w:ascii="Courier New" w:eastAsia="Times New Roman" w:hAnsi="Courier New" w:cs="Courier New"/>
              </w:rPr>
              <w:t>глинистым</w:t>
            </w:r>
            <w:r w:rsidRPr="003578B2">
              <w:rPr>
                <w:rFonts w:ascii="Courier New" w:eastAsia="Times New Roman" w:hAnsi="Courier New" w:cs="Courier New"/>
              </w:rPr>
              <w:t xml:space="preserve"> грунтом, нет сточных вод </w:t>
            </w:r>
          </w:p>
        </w:tc>
        <w:tc>
          <w:tcPr>
            <w:tcW w:w="1313" w:type="pct"/>
          </w:tcPr>
          <w:p w:rsidR="00B6043B" w:rsidRPr="003578B2" w:rsidRDefault="00B6043B" w:rsidP="00DF0240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</w:t>
            </w:r>
            <w:r w:rsidR="00DF0240">
              <w:rPr>
                <w:rFonts w:ascii="Courier New" w:eastAsia="Times New Roman" w:hAnsi="Courier New" w:cs="Courier New"/>
              </w:rPr>
              <w:t>глинистым</w:t>
            </w:r>
            <w:r w:rsidRPr="003578B2">
              <w:rPr>
                <w:rFonts w:ascii="Courier New" w:eastAsia="Times New Roman" w:hAnsi="Courier New" w:cs="Courier New"/>
              </w:rPr>
              <w:t xml:space="preserve"> грунтом, нет сточных вод</w:t>
            </w:r>
          </w:p>
        </w:tc>
        <w:tc>
          <w:tcPr>
            <w:tcW w:w="1071" w:type="pct"/>
          </w:tcPr>
          <w:p w:rsidR="00B6043B" w:rsidRPr="003578B2" w:rsidRDefault="00B6043B" w:rsidP="00DF0240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</w:t>
            </w:r>
            <w:r w:rsidR="00DF0240">
              <w:rPr>
                <w:rFonts w:ascii="Courier New" w:eastAsia="Times New Roman" w:hAnsi="Courier New" w:cs="Courier New"/>
              </w:rPr>
              <w:t>глинистым</w:t>
            </w:r>
            <w:r w:rsidRPr="003578B2">
              <w:rPr>
                <w:rFonts w:ascii="Courier New" w:eastAsia="Times New Roman" w:hAnsi="Courier New" w:cs="Courier New"/>
              </w:rPr>
              <w:t xml:space="preserve"> грунтом, нет сточных вод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1288" w:type="pct"/>
          </w:tcPr>
          <w:p w:rsidR="00B6043B" w:rsidRPr="003578B2" w:rsidRDefault="00B6043B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313" w:type="pct"/>
          </w:tcPr>
          <w:p w:rsidR="00B6043B" w:rsidRPr="003578B2" w:rsidRDefault="00B6043B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1071" w:type="pct"/>
          </w:tcPr>
          <w:p w:rsidR="00B6043B" w:rsidRPr="003578B2" w:rsidRDefault="00B6043B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Подъездные пути и автостоянки имеются в удовлетворительном состоянии, в зимний период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очищаемые от снежных заносов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Подъездные пути и автостоянки имеются в удовлетворительном состоянии, в зимний период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очищаемые от снежных заносов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Подъездные пути и автостоянки имеются в удовлетворительном состоянии, в зимний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период очищаемые от снежных заносов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 w:val="restart"/>
            <w:tcBorders>
              <w:top w:val="nil"/>
            </w:tcBorders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B6043B" w:rsidRPr="00B30054" w:rsidTr="00B6043B">
        <w:trPr>
          <w:trHeight w:val="465"/>
        </w:trPr>
        <w:tc>
          <w:tcPr>
            <w:tcW w:w="256" w:type="pct"/>
            <w:vMerge/>
            <w:tcBorders>
              <w:top w:val="nil"/>
            </w:tcBorders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</w:p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288" w:type="pct"/>
          </w:tcPr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B6043B" w:rsidRPr="00B30054" w:rsidTr="00B6043B">
        <w:trPr>
          <w:trHeight w:val="7727"/>
        </w:trPr>
        <w:tc>
          <w:tcPr>
            <w:tcW w:w="256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п.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1072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B6043B" w:rsidRPr="003578B2" w:rsidRDefault="00B6043B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288" w:type="pct"/>
          </w:tcPr>
          <w:p w:rsidR="00B6043B" w:rsidRPr="003578B2" w:rsidRDefault="00B6043B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313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071" w:type="pct"/>
          </w:tcPr>
          <w:p w:rsidR="00B6043B" w:rsidRPr="003578B2" w:rsidRDefault="00B6043B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4926" w:type="pct"/>
        <w:tblLook w:val="04A0"/>
      </w:tblPr>
      <w:tblGrid>
        <w:gridCol w:w="4487"/>
        <w:gridCol w:w="3275"/>
        <w:gridCol w:w="3120"/>
        <w:gridCol w:w="3685"/>
      </w:tblGrid>
      <w:tr w:rsidR="00DF0240" w:rsidRPr="00B30054" w:rsidTr="00DF0240">
        <w:trPr>
          <w:trHeight w:val="345"/>
        </w:trPr>
        <w:tc>
          <w:tcPr>
            <w:tcW w:w="1540" w:type="pct"/>
            <w:vMerge w:val="restart"/>
          </w:tcPr>
          <w:p w:rsidR="00DF0240" w:rsidRPr="003578B2" w:rsidRDefault="00DF024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Мероприятие</w:t>
            </w:r>
          </w:p>
        </w:tc>
        <w:tc>
          <w:tcPr>
            <w:tcW w:w="3460" w:type="pct"/>
            <w:gridSpan w:val="3"/>
          </w:tcPr>
          <w:p w:rsidR="00DF0240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Количество, период </w:t>
            </w:r>
          </w:p>
          <w:p w:rsidR="00DF0240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проведения работ</w:t>
            </w:r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  <w:vMerge/>
          </w:tcPr>
          <w:p w:rsidR="00DF0240" w:rsidRPr="003578B2" w:rsidRDefault="00DF0240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124" w:type="pct"/>
          </w:tcPr>
          <w:p w:rsidR="00DF0240" w:rsidRPr="003578B2" w:rsidRDefault="00DF0240" w:rsidP="00DF024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</w:rPr>
              <w:t>абарсук</w:t>
            </w:r>
            <w:proofErr w:type="spellEnd"/>
          </w:p>
        </w:tc>
        <w:tc>
          <w:tcPr>
            <w:tcW w:w="1071" w:type="pct"/>
          </w:tcPr>
          <w:p w:rsidR="00DF0240" w:rsidRPr="003578B2" w:rsidRDefault="00DF0240" w:rsidP="00DF024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Д</w:t>
            </w:r>
            <w:proofErr w:type="gramEnd"/>
            <w:r>
              <w:rPr>
                <w:rFonts w:ascii="Courier New" w:eastAsia="Times New Roman" w:hAnsi="Courier New" w:cs="Courier New"/>
              </w:rPr>
              <w:t>ута</w:t>
            </w:r>
          </w:p>
        </w:tc>
        <w:tc>
          <w:tcPr>
            <w:tcW w:w="1265" w:type="pct"/>
          </w:tcPr>
          <w:p w:rsidR="00DF0240" w:rsidRPr="003578B2" w:rsidRDefault="00DF0240" w:rsidP="00DF0240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ольшая </w:t>
            </w:r>
            <w:proofErr w:type="spellStart"/>
            <w:r>
              <w:rPr>
                <w:rFonts w:ascii="Courier New" w:eastAsia="Times New Roman" w:hAnsi="Courier New" w:cs="Courier New"/>
              </w:rPr>
              <w:t>Ерма</w:t>
            </w:r>
            <w:proofErr w:type="spellEnd"/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</w:tcPr>
          <w:p w:rsidR="00DF0240" w:rsidRPr="003578B2" w:rsidRDefault="00DF0240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1124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091F69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091F69">
              <w:rPr>
                <w:rFonts w:ascii="Courier New" w:eastAsia="Times New Roman" w:hAnsi="Courier New" w:cs="Courier New"/>
              </w:rPr>
              <w:t>5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071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091F69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091F69">
              <w:rPr>
                <w:rFonts w:ascii="Courier New" w:eastAsia="Times New Roman" w:hAnsi="Courier New" w:cs="Courier New"/>
              </w:rPr>
              <w:t>0г</w:t>
            </w:r>
            <w:r w:rsidRPr="003578B2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265" w:type="pct"/>
          </w:tcPr>
          <w:p w:rsidR="00DF0240" w:rsidRPr="003578B2" w:rsidRDefault="00DF0240" w:rsidP="004F2D73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091F69" w:rsidP="00091F69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2020 </w:t>
            </w:r>
            <w:r w:rsidR="00DF0240"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</w:tcPr>
          <w:p w:rsidR="00DF0240" w:rsidRPr="003578B2" w:rsidRDefault="00DF0240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1124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071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2020 г.г.</w:t>
            </w:r>
          </w:p>
        </w:tc>
        <w:tc>
          <w:tcPr>
            <w:tcW w:w="1265" w:type="pct"/>
          </w:tcPr>
          <w:p w:rsidR="00DF0240" w:rsidRPr="003578B2" w:rsidRDefault="00DF0240" w:rsidP="004F2D73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DF0240" w:rsidRPr="003578B2" w:rsidRDefault="00DF0240" w:rsidP="00091F69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20</w:t>
            </w:r>
            <w:r w:rsidR="00091F69">
              <w:rPr>
                <w:rFonts w:ascii="Courier New" w:eastAsia="Times New Roman" w:hAnsi="Courier New" w:cs="Courier New"/>
              </w:rPr>
              <w:t>19</w:t>
            </w:r>
            <w:r w:rsidRPr="003578B2">
              <w:rPr>
                <w:rFonts w:ascii="Courier New" w:eastAsia="Times New Roman" w:hAnsi="Courier New" w:cs="Courier New"/>
              </w:rPr>
              <w:t xml:space="preserve"> г.г.</w:t>
            </w:r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</w:tcPr>
          <w:p w:rsidR="00DF0240" w:rsidRPr="003578B2" w:rsidRDefault="00DF0240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1124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– 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071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265" w:type="pct"/>
          </w:tcPr>
          <w:p w:rsidR="00DF0240" w:rsidRPr="003578B2" w:rsidRDefault="00DF0240" w:rsidP="004F2D73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</w:tcPr>
          <w:p w:rsidR="00DF0240" w:rsidRPr="003578B2" w:rsidRDefault="00DF0240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124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071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265" w:type="pct"/>
          </w:tcPr>
          <w:p w:rsidR="00DF0240" w:rsidRPr="003578B2" w:rsidRDefault="00DF0240" w:rsidP="004F2D73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</w:tr>
      <w:tr w:rsidR="00DF0240" w:rsidRPr="00B30054" w:rsidTr="00DF0240">
        <w:trPr>
          <w:trHeight w:val="465"/>
        </w:trPr>
        <w:tc>
          <w:tcPr>
            <w:tcW w:w="1540" w:type="pct"/>
          </w:tcPr>
          <w:p w:rsidR="00DF0240" w:rsidRPr="003578B2" w:rsidRDefault="00DF0240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1124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071" w:type="pct"/>
          </w:tcPr>
          <w:p w:rsidR="00DF0240" w:rsidRPr="003578B2" w:rsidRDefault="00DF0240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265" w:type="pct"/>
          </w:tcPr>
          <w:p w:rsidR="00DF0240" w:rsidRPr="003578B2" w:rsidRDefault="00DF0240" w:rsidP="004F2D73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527604" w:rsidRDefault="00527604" w:rsidP="00F85A00">
      <w:pPr>
        <w:pStyle w:val="a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0240">
      <w:pPr>
        <w:pStyle w:val="a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Default="00DF0240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  <w:sectPr w:rsidR="00DF0240" w:rsidSect="006064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67FD" w:rsidRPr="003578B2" w:rsidRDefault="00C30915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6.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0240" w:rsidRDefault="00DF0240" w:rsidP="00DF0240">
      <w:pPr>
        <w:pStyle w:val="a8"/>
        <w:spacing w:line="276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0240" w:rsidRPr="003578B2" w:rsidRDefault="00DF0240" w:rsidP="00DF0240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Выполнение включённых в Проект мероприятий при условии разработки эффективных </w:t>
      </w:r>
      <w:r>
        <w:rPr>
          <w:rFonts w:ascii="Arial" w:eastAsia="Times New Roman" w:hAnsi="Arial" w:cs="Arial"/>
          <w:sz w:val="24"/>
          <w:szCs w:val="24"/>
        </w:rPr>
        <w:t xml:space="preserve">механизмов их реализации </w:t>
      </w:r>
      <w:r w:rsidRPr="003578B2">
        <w:rPr>
          <w:rFonts w:ascii="Arial" w:eastAsia="Times New Roman" w:hAnsi="Arial" w:cs="Arial"/>
          <w:sz w:val="24"/>
          <w:szCs w:val="24"/>
        </w:rPr>
        <w:t xml:space="preserve"> 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0240" w:rsidRPr="003578B2" w:rsidRDefault="00DF0240" w:rsidP="00DF0240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0240" w:rsidRPr="003578B2" w:rsidRDefault="00E5650F" w:rsidP="00DF0240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7. Организация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контроля</w:t>
      </w:r>
      <w:r w:rsidR="00DF0240" w:rsidRPr="003578B2">
        <w:rPr>
          <w:rFonts w:ascii="Arial" w:eastAsia="Times New Roman" w:hAnsi="Arial" w:cs="Arial"/>
          <w:b/>
          <w:sz w:val="24"/>
          <w:szCs w:val="24"/>
        </w:rPr>
        <w:t xml:space="preserve"> за</w:t>
      </w:r>
      <w:proofErr w:type="gramEnd"/>
      <w:r w:rsidR="00DF0240" w:rsidRPr="003578B2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DF0240" w:rsidRPr="003578B2" w:rsidRDefault="00DF0240" w:rsidP="00DF0240">
      <w:pPr>
        <w:pStyle w:val="a8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0240" w:rsidRPr="003578B2" w:rsidRDefault="00DF0240" w:rsidP="00DF0240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власти  </w:t>
      </w:r>
      <w:r>
        <w:rPr>
          <w:rFonts w:ascii="Arial" w:eastAsia="Times New Roman" w:hAnsi="Arial" w:cs="Arial"/>
          <w:sz w:val="24"/>
          <w:szCs w:val="24"/>
        </w:rPr>
        <w:t>муниципального  образования «Табарсук».</w:t>
      </w:r>
    </w:p>
    <w:p w:rsidR="00DF0240" w:rsidRPr="003578B2" w:rsidRDefault="00DF0240" w:rsidP="00DF0240">
      <w:pPr>
        <w:pStyle w:val="a8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 </w:t>
      </w:r>
    </w:p>
    <w:p w:rsidR="00DF0240" w:rsidRPr="003578B2" w:rsidRDefault="00DF0240" w:rsidP="00DF0240">
      <w:pPr>
        <w:pStyle w:val="a8"/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DF0240" w:rsidRPr="003578B2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DF0240" w:rsidRPr="003578B2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0240" w:rsidRPr="003578B2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DF0240" w:rsidRPr="003578B2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0240" w:rsidRPr="003578B2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DF0240" w:rsidRPr="00DF0240" w:rsidRDefault="00DF0240" w:rsidP="00DF0240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DF0240" w:rsidRPr="00DF0240" w:rsidSect="00DF02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</w:t>
      </w:r>
      <w:r w:rsidR="005E360A">
        <w:rPr>
          <w:rFonts w:ascii="Arial" w:eastAsia="Times New Roman" w:hAnsi="Arial" w:cs="Arial"/>
          <w:sz w:val="24"/>
          <w:szCs w:val="24"/>
        </w:rPr>
        <w:t>приятий.</w:t>
      </w:r>
    </w:p>
    <w:p w:rsidR="00DF67FD" w:rsidRPr="003578B2" w:rsidRDefault="00DF67FD" w:rsidP="00E5650F">
      <w:pPr>
        <w:pStyle w:val="a8"/>
        <w:spacing w:line="276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sectPr w:rsidR="00DF67FD" w:rsidRPr="003578B2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FD"/>
    <w:rsid w:val="0002126C"/>
    <w:rsid w:val="000311CC"/>
    <w:rsid w:val="00054E71"/>
    <w:rsid w:val="000643E4"/>
    <w:rsid w:val="00091F69"/>
    <w:rsid w:val="000A310D"/>
    <w:rsid w:val="00113FF8"/>
    <w:rsid w:val="001C0329"/>
    <w:rsid w:val="00222F66"/>
    <w:rsid w:val="002B1A2A"/>
    <w:rsid w:val="003449B1"/>
    <w:rsid w:val="003578B2"/>
    <w:rsid w:val="00370260"/>
    <w:rsid w:val="00401B0F"/>
    <w:rsid w:val="004A7942"/>
    <w:rsid w:val="004D6C57"/>
    <w:rsid w:val="004E34BC"/>
    <w:rsid w:val="00527604"/>
    <w:rsid w:val="00565153"/>
    <w:rsid w:val="005A1C69"/>
    <w:rsid w:val="005E360A"/>
    <w:rsid w:val="005E4243"/>
    <w:rsid w:val="0060649D"/>
    <w:rsid w:val="00606B07"/>
    <w:rsid w:val="006E671E"/>
    <w:rsid w:val="007359FE"/>
    <w:rsid w:val="0074799D"/>
    <w:rsid w:val="007D7CB9"/>
    <w:rsid w:val="00832166"/>
    <w:rsid w:val="00876BBC"/>
    <w:rsid w:val="008939CF"/>
    <w:rsid w:val="008C3916"/>
    <w:rsid w:val="008C77C3"/>
    <w:rsid w:val="008E1400"/>
    <w:rsid w:val="00931654"/>
    <w:rsid w:val="00937F47"/>
    <w:rsid w:val="00987D2D"/>
    <w:rsid w:val="009A3D28"/>
    <w:rsid w:val="009C1FDC"/>
    <w:rsid w:val="009D4C5B"/>
    <w:rsid w:val="009F3544"/>
    <w:rsid w:val="00A342CA"/>
    <w:rsid w:val="00A653A3"/>
    <w:rsid w:val="00AE19EE"/>
    <w:rsid w:val="00B1053F"/>
    <w:rsid w:val="00B6043B"/>
    <w:rsid w:val="00B71BF9"/>
    <w:rsid w:val="00BC5B45"/>
    <w:rsid w:val="00BD3BC3"/>
    <w:rsid w:val="00C00379"/>
    <w:rsid w:val="00C30915"/>
    <w:rsid w:val="00C44DA2"/>
    <w:rsid w:val="00CB321C"/>
    <w:rsid w:val="00CC1BB6"/>
    <w:rsid w:val="00D539B4"/>
    <w:rsid w:val="00D759A3"/>
    <w:rsid w:val="00DB3C29"/>
    <w:rsid w:val="00DD3FB0"/>
    <w:rsid w:val="00DF0240"/>
    <w:rsid w:val="00DF67FD"/>
    <w:rsid w:val="00E2231F"/>
    <w:rsid w:val="00E4558B"/>
    <w:rsid w:val="00E54B27"/>
    <w:rsid w:val="00E5650F"/>
    <w:rsid w:val="00EA375F"/>
    <w:rsid w:val="00EF5F98"/>
    <w:rsid w:val="00F17AD0"/>
    <w:rsid w:val="00F85A00"/>
    <w:rsid w:val="00FE5720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13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2019-04-08T07:45:00Z</cp:lastPrinted>
  <dcterms:created xsi:type="dcterms:W3CDTF">2018-03-28T01:38:00Z</dcterms:created>
  <dcterms:modified xsi:type="dcterms:W3CDTF">2019-04-19T06:21:00Z</dcterms:modified>
</cp:coreProperties>
</file>